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media/image5.wmf" ContentType="image/x-wmf"/>
  <Override PartName="/word/media/image6.wmf" ContentType="image/x-wmf"/>
  <Override PartName="/word/media/image7.wmf" ContentType="image/x-wmf"/>
  <Override PartName="/word/media/image8.wmf" ContentType="image/x-wmf"/>
  <Override PartName="/word/media/image9.wmf" ContentType="image/x-wmf"/>
  <Override PartName="/word/media/image10.wmf" ContentType="image/x-wmf"/>
  <Override PartName="/word/media/image11.wmf" ContentType="image/x-wmf"/>
  <Override PartName="/word/media/image12.wmf" ContentType="image/x-wmf"/>
  <Override PartName="/word/media/image13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Title"/>
        <w:numPr>
          <w:ilvl w:val="0"/>
          <w:numId w:val="0"/>
        </w:numPr>
        <w:ind w:left="0" w:hanging="0"/>
        <w:outlineLvl w:val="2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 xml:space="preserve">                                                                                </w:t>
      </w:r>
      <w:r>
        <w:rPr>
          <w:rFonts w:cs="Times New Roman" w:ascii="Times New Roman" w:hAnsi="Times New Roman"/>
          <w:b w:val="false"/>
          <w:sz w:val="24"/>
          <w:szCs w:val="24"/>
        </w:rPr>
        <w:t>Приложение к государственной программе</w:t>
      </w:r>
    </w:p>
    <w:p>
      <w:pPr>
        <w:pStyle w:val="ConsPlusTitle"/>
        <w:numPr>
          <w:ilvl w:val="0"/>
          <w:numId w:val="0"/>
        </w:numPr>
        <w:ind w:left="4820" w:hanging="0"/>
        <w:outlineLvl w:val="2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>«Профилактика правонарушений и противодействие преступности на территории Брянской области, содействие реализации полномочий в сфере региональной безопасности, защита населения и территорий Брянской области от чрезвычайных ситуаций, профилактика терроризма и экстремизма»</w:t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 w:cs="Times New Roman"/>
          <w:b w:val="false"/>
          <w:b w:val="false"/>
          <w:szCs w:val="22"/>
        </w:rPr>
      </w:pPr>
      <w:r>
        <w:rPr>
          <w:rFonts w:cs="Times New Roman" w:ascii="Times New Roman" w:hAnsi="Times New Roman"/>
          <w:b w:val="false"/>
          <w:szCs w:val="22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 w:cs="Times New Roman"/>
          <w:b w:val="false"/>
          <w:b w:val="false"/>
          <w:szCs w:val="22"/>
        </w:rPr>
      </w:pPr>
      <w:r>
        <w:rPr>
          <w:rFonts w:cs="Times New Roman" w:ascii="Times New Roman" w:hAnsi="Times New Roman"/>
          <w:b w:val="false"/>
          <w:szCs w:val="22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Методика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расчета показателей (индикаторов) государственной</w:t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программы «Профилактика правонарушений и противодействие</w:t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преступности на территории Брянской области, содействие реализации полномочий в сфере региональной безопасности, защита населения и территорий Брянской области от чрезвычайных ситуаций, профилактика терроризма и экстремизма»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220" w:after="0"/>
        <w:ind w:firstLine="540"/>
        <w:jc w:val="center"/>
        <w:rPr>
          <w:rFonts w:ascii="Times New Roman" w:hAnsi="Times New Roman" w:eastAsia="Times New Roman" w:cs="Times New Roman"/>
          <w:i/>
          <w:i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i/>
          <w:sz w:val="28"/>
          <w:szCs w:val="28"/>
          <w:lang w:eastAsia="ru-RU"/>
        </w:rPr>
        <w:t>Показатели (индикаторы), характеризующие конечные результаты реализации государственной программы</w:t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 Доля подростков и молодежи в возрасте от 11 до 24 лет, вовлеченных в профилактические мероприятия по предотвращению употребления наркотических веществ: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Calibri" w:hAnsi="Calibri" w:eastAsia="Times New Roman" w:cs="Calibri"/>
          <w:szCs w:val="20"/>
          <w:lang w:eastAsia="ru-RU"/>
        </w:rPr>
      </w:pPr>
      <w:r>
        <w:rPr>
          <w:rFonts w:eastAsia="Times New Roman" w:cs="Calibri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Calibri" w:hAnsi="Calibri" w:eastAsia="Times New Roman" w:cs="Calibri"/>
          <w:szCs w:val="20"/>
          <w:lang w:eastAsia="ru-RU"/>
        </w:rPr>
      </w:pPr>
      <w:r>
        <w:rPr/>
        <w:drawing>
          <wp:inline distT="0" distB="0" distL="0" distR="0">
            <wp:extent cx="1562100" cy="469900"/>
            <wp:effectExtent l="0" t="0" r="0" b="0"/>
            <wp:docPr id="1" name="Рисунок 3" descr="base_23753_62063_32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base_23753_62063_3277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 w:val="false"/>
        <w:spacing w:lineRule="auto" w:line="240" w:before="0" w:after="0"/>
        <w:jc w:val="both"/>
        <w:rPr>
          <w:rFonts w:ascii="Calibri" w:hAnsi="Calibri" w:eastAsia="Times New Roman" w:cs="Calibri"/>
          <w:szCs w:val="20"/>
          <w:lang w:eastAsia="ru-RU"/>
        </w:rPr>
      </w:pPr>
      <w:r>
        <w:rPr>
          <w:rFonts w:eastAsia="Times New Roman" w:cs="Calibri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S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Qk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- доля подростков и молодежи в возрасте от 11 до 24 лет, вовлеченных в профилактические мероприятия по предотвращению употребления наркотических веществ, %;</w:t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Q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- численность подростков и молодежи в возрасте от 11 до 24 лет, вовлеченных в профилактические мероприятия по предотвращению употребления наркотических веществ;</w:t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Q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vm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- численность подростков и молодежи в возрасте от 11 до 24 лет, проживающих на территории Брянской области.</w:t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Доля подростков и молодежи в возрасте от 11 до 24 лет, вовлеченных в профилактические мероприятия по предотвращению употребления наркотических веществ, отражается в статистических сборниках департамента здравоохранения Брянской области, в результатах мониторинга наркоситуации в Брянской области на официальных сайтах антинаркотической комиссии Брянской области, департамента здравоохранения Брянской области, УМВД России по Брянской области.</w:t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2. Доля территорий (зон), подверженных воздействию быстроразвивающихся природных и техногенных процессов, охваченных техническими средствами комплексной системы экстренного оповещения населения (КСЭОН) (процент)</w:t>
      </w:r>
    </w:p>
    <w:p>
      <w:pPr>
        <w:pStyle w:val="Normal"/>
        <w:widowControl w:val="false"/>
        <w:spacing w:lineRule="auto" w:line="240" w:before="22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22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/>
        <w:drawing>
          <wp:inline distT="0" distB="0" distL="0" distR="0">
            <wp:extent cx="1384300" cy="469900"/>
            <wp:effectExtent l="0" t="0" r="0" b="0"/>
            <wp:docPr id="2" name="Изображение1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0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- доля территорий (зон), подверженных воздействию быстроразвивающихся природных и техногенных процессов, охваченных техническими средствами комплексной системы экстренного оповещения населения об угрозе возникновения или о возникновении чрезвычайных ситуаций (КСЭОН) (процент);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</w:t>
      </w:r>
      <w:r>
        <w:rPr>
          <w:rFonts w:cs="Times New Roman" w:ascii="Times New Roman" w:hAnsi="Times New Roman"/>
          <w:sz w:val="28"/>
          <w:szCs w:val="28"/>
          <w:vertAlign w:val="subscript"/>
        </w:rPr>
        <w:t>1</w:t>
      </w:r>
      <w:r>
        <w:rPr>
          <w:rFonts w:cs="Times New Roman" w:ascii="Times New Roman" w:hAnsi="Times New Roman"/>
          <w:sz w:val="28"/>
          <w:szCs w:val="28"/>
        </w:rPr>
        <w:t xml:space="preserve"> - общее количество территорий (зон), подверженных воздействию быстроразвивающихся природных и техногенных процессов;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</w:t>
      </w:r>
      <w:r>
        <w:rPr>
          <w:rFonts w:cs="Times New Roman" w:ascii="Times New Roman" w:hAnsi="Times New Roman"/>
          <w:sz w:val="28"/>
          <w:szCs w:val="28"/>
          <w:vertAlign w:val="subscript"/>
        </w:rPr>
        <w:t>2</w:t>
      </w:r>
      <w:r>
        <w:rPr>
          <w:rFonts w:cs="Times New Roman" w:ascii="Times New Roman" w:hAnsi="Times New Roman"/>
          <w:sz w:val="28"/>
          <w:szCs w:val="28"/>
        </w:rPr>
        <w:t xml:space="preserve"> - количество территорий (зон), подверженных воздействию быстроразвивающихся природных и техногенных процессов, охваченных техническими средствами комплексной системы экстренного оповещения населения об угрозе возникновения или о возникновении чрезвычайных ситуаций (КСЭОН).</w:t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Перечень территорий (зон), подверженных воздействию быстроразвивающихся природных и техногенных процессов, в Брянской области утвержден Распоряжением Правительства Брянской области от 3 июля 2017 года  № 190-рп.</w:t>
      </w:r>
    </w:p>
    <w:p>
      <w:pPr>
        <w:pStyle w:val="Normal"/>
        <w:widowControl w:val="false"/>
        <w:spacing w:lineRule="auto" w:line="240" w:before="22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   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3. Количество муниципальных образований, в которых создан АПК "Безопасный город".</w:t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Показатель определяется исходя из количества муниципальных образований, в которых создан АПК "Безопасный город".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Сокращение уровня преступности на 10 тыс. населения по области к показателям предыдущего года определяется по формуле: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center"/>
        <w:rPr/>
      </w:pPr>
      <w:r>
        <w:rPr/>
        <w:drawing>
          <wp:inline distT="0" distB="0" distL="0" distR="0">
            <wp:extent cx="1249045" cy="469900"/>
            <wp:effectExtent l="0" t="0" r="0" b="0"/>
            <wp:docPr id="3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где: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</w:t>
      </w:r>
      <w:r>
        <w:rPr>
          <w:rFonts w:cs="Times New Roman" w:ascii="Times New Roman" w:hAnsi="Times New Roman"/>
          <w:sz w:val="28"/>
          <w:szCs w:val="28"/>
          <w:vertAlign w:val="subscript"/>
        </w:rPr>
        <w:t>ог</w:t>
      </w:r>
      <w:r>
        <w:rPr>
          <w:rFonts w:cs="Times New Roman" w:ascii="Times New Roman" w:hAnsi="Times New Roman"/>
          <w:sz w:val="28"/>
          <w:szCs w:val="28"/>
        </w:rPr>
        <w:t xml:space="preserve"> - сокращение уровня преступности на 10 тыс. населения;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</w:t>
      </w:r>
      <w:r>
        <w:rPr>
          <w:rFonts w:cs="Times New Roman" w:ascii="Times New Roman" w:hAnsi="Times New Roman"/>
          <w:sz w:val="28"/>
          <w:szCs w:val="28"/>
          <w:vertAlign w:val="subscript"/>
        </w:rPr>
        <w:t>пг</w:t>
      </w:r>
      <w:r>
        <w:rPr>
          <w:rFonts w:cs="Times New Roman" w:ascii="Times New Roman" w:hAnsi="Times New Roman"/>
          <w:sz w:val="28"/>
          <w:szCs w:val="28"/>
        </w:rPr>
        <w:t xml:space="preserve"> - количество преступлений, совершенных в предыдущем году, на            10 тыс. населения;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</w:t>
      </w:r>
      <w:r>
        <w:rPr>
          <w:rFonts w:cs="Times New Roman" w:ascii="Times New Roman" w:hAnsi="Times New Roman"/>
          <w:sz w:val="28"/>
          <w:szCs w:val="28"/>
          <w:vertAlign w:val="subscript"/>
        </w:rPr>
        <w:t>ог</w:t>
      </w:r>
      <w:r>
        <w:rPr>
          <w:rFonts w:cs="Times New Roman" w:ascii="Times New Roman" w:hAnsi="Times New Roman"/>
          <w:sz w:val="28"/>
          <w:szCs w:val="28"/>
        </w:rPr>
        <w:t xml:space="preserve"> - количество преступлений, совершенных в отчетном году, на 10 тыс. населения.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Данные о состоянии преступности на 10 тыс. населения представляет УМВД России по Брянской области в информации о состоянии законности и правопорядка на территории Брянской области в соответствии с постановлением администрации Брянской области от 8 июля 2005 года N 375 "О регламенте работы администрации Брянской области".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 Снижение численности погибших при пожарах (по сравнению к предыдущему периоду) определяется по формуле: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center"/>
        <w:rPr/>
      </w:pPr>
      <w:r>
        <w:rPr/>
        <w:drawing>
          <wp:inline distT="0" distB="0" distL="0" distR="0">
            <wp:extent cx="2052320" cy="469900"/>
            <wp:effectExtent l="0" t="0" r="0" b="0"/>
            <wp:docPr id="4" name="Изображение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7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32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</w:t>
      </w:r>
      <w:r>
        <w:rPr>
          <w:rFonts w:cs="Times New Roman" w:ascii="Times New Roman" w:hAnsi="Times New Roman"/>
          <w:sz w:val="28"/>
          <w:szCs w:val="28"/>
          <w:vertAlign w:val="subscript"/>
        </w:rPr>
        <w:t>Qv</w:t>
      </w:r>
      <w:r>
        <w:rPr>
          <w:rFonts w:cs="Times New Roman" w:ascii="Times New Roman" w:hAnsi="Times New Roman"/>
          <w:sz w:val="28"/>
          <w:szCs w:val="28"/>
        </w:rPr>
        <w:t xml:space="preserve"> - снижение численности погибших при пожарах, %;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Q</w:t>
      </w:r>
      <w:r>
        <w:rPr>
          <w:rFonts w:cs="Times New Roman" w:ascii="Times New Roman" w:hAnsi="Times New Roman"/>
          <w:sz w:val="28"/>
          <w:szCs w:val="28"/>
          <w:vertAlign w:val="subscript"/>
        </w:rPr>
        <w:t>vn.n.</w:t>
      </w:r>
      <w:r>
        <w:rPr>
          <w:rFonts w:cs="Times New Roman" w:ascii="Times New Roman" w:hAnsi="Times New Roman"/>
          <w:sz w:val="28"/>
          <w:szCs w:val="28"/>
        </w:rPr>
        <w:t xml:space="preserve"> - количество погибших в отчетном периоде, единиц;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Q</w:t>
      </w:r>
      <w:r>
        <w:rPr>
          <w:rFonts w:cs="Times New Roman" w:ascii="Times New Roman" w:hAnsi="Times New Roman"/>
          <w:sz w:val="28"/>
          <w:szCs w:val="28"/>
          <w:vertAlign w:val="subscript"/>
        </w:rPr>
        <w:t>vm.n.</w:t>
      </w:r>
      <w:r>
        <w:rPr>
          <w:rFonts w:cs="Times New Roman" w:ascii="Times New Roman" w:hAnsi="Times New Roman"/>
          <w:sz w:val="28"/>
          <w:szCs w:val="28"/>
        </w:rPr>
        <w:t xml:space="preserve"> - количество погибших в периоде, предшествующем отчетному, единиц.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Количество пожаров и численность погибших при пожарах определяется на основании статистических данных Государственной системы учета пожаров и последствий от них в Российской Федерации в соответствии с </w:t>
      </w:r>
      <w:hyperlink r:id="rId6">
        <w:r>
          <w:rPr>
            <w:rFonts w:cs="Times New Roman" w:ascii="Times New Roman" w:hAnsi="Times New Roman"/>
            <w:sz w:val="28"/>
            <w:szCs w:val="28"/>
          </w:rPr>
          <w:t>пунктом 5.3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Федерального плана статистических работ, утвержденного распоряжением Правительства Российской Федерации от 6 мая 2008 года             N 671-р.</w:t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6. Уровень первичной заболеваемости наркоманией.</w:t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Индикатор "Уровень первичной заболеваемости наркоманией" рассчитывается по формуле: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Calibri" w:hAnsi="Calibri" w:eastAsia="Times New Roman" w:cs="Calibri"/>
          <w:szCs w:val="20"/>
          <w:lang w:eastAsia="ru-RU"/>
        </w:rPr>
      </w:pPr>
      <w:r>
        <w:rPr/>
        <w:drawing>
          <wp:inline distT="0" distB="0" distL="0" distR="0">
            <wp:extent cx="1581150" cy="469900"/>
            <wp:effectExtent l="0" t="0" r="0" b="0"/>
            <wp:docPr id="5" name="Рисунок 6" descr="base_23753_62063_32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6" descr="base_23753_62063_3277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 w:val="false"/>
        <w:spacing w:lineRule="auto" w:line="240" w:before="0" w:after="0"/>
        <w:jc w:val="both"/>
        <w:rPr>
          <w:rFonts w:ascii="Calibri" w:hAnsi="Calibri" w:eastAsia="Times New Roman" w:cs="Calibri"/>
          <w:szCs w:val="20"/>
          <w:lang w:eastAsia="ru-RU"/>
        </w:rPr>
      </w:pPr>
      <w:r>
        <w:rPr>
          <w:rFonts w:eastAsia="Times New Roman" w:cs="Calibri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Pn - первичная заболеваемость;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20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Ap - число лиц с впервые в жизни установленным диагнозом «наркомания», определяется по данным департамента здравоохранения Брянской области;</w:t>
      </w:r>
    </w:p>
    <w:p>
      <w:pPr>
        <w:pStyle w:val="Normal"/>
        <w:spacing w:lineRule="auto" w:line="240" w:before="20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Sn - численность населения на конец отчетного периода, определяется по данным Брянскстата.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Данный индикатор определяется в соответствии с </w:t>
      </w:r>
      <w:hyperlink r:id="rId8">
        <w:r>
          <w:rPr>
            <w:rFonts w:eastAsia="Times New Roman" w:cs="Times New Roman" w:ascii="Times New Roman" w:hAnsi="Times New Roman"/>
            <w:color w:val="0000FF"/>
            <w:sz w:val="28"/>
            <w:szCs w:val="28"/>
            <w:lang w:eastAsia="ru-RU"/>
          </w:rPr>
          <w:t>указом</w:t>
        </w:r>
      </w:hyperlink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Губернатора Брянской области от 18 июля 2017 года N 123 "Об организации мониторинга наркоситуации в Брянской области", принятым в соответствии с методикой и порядком осуществления мониторинга, а также критериями оценки развития наркоситуации в Российской Федерации и ее субъектах, одобренных Государственным антинаркотическим комитетом Российской Федерации            (</w:t>
      </w:r>
      <w:hyperlink r:id="rId9">
        <w:r>
          <w:rPr>
            <w:rFonts w:eastAsia="Times New Roman" w:cs="Times New Roman" w:ascii="Times New Roman" w:hAnsi="Times New Roman"/>
            <w:color w:val="0000FF"/>
            <w:sz w:val="28"/>
            <w:szCs w:val="28"/>
            <w:lang w:eastAsia="ru-RU"/>
          </w:rPr>
          <w:t>п. 1.3</w:t>
        </w:r>
      </w:hyperlink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протокола заседания от 15 февраля 2017 года N 32), и является одним из показателей, составляющим критерии оценки развития наркоситуациимасштабы немедицинского потребления наркотиков.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7. Своевременное составление (изменение) списков кандидатов в присяжные заседатели федеральных судов общей юрисдикции. (Единица измерения %): 100%.</w:t>
      </w:r>
    </w:p>
    <w:p>
      <w:pPr>
        <w:pStyle w:val="ConsPlusNormal"/>
        <w:spacing w:before="220" w:after="20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r>
            <w:rPr>
              <w:rFonts w:ascii="Cambria Math" w:hAnsi="Cambria Math"/>
            </w:rPr>
            <m:t xml:space="preserve">П</m:t>
          </m:r>
          <m:r>
            <w:rPr>
              <w:rFonts w:ascii="Cambria Math" w:hAnsi="Cambria Math"/>
            </w:rPr>
            <m:t xml:space="preserve">=</m:t>
          </m:r>
          <m:f>
            <m:num>
              <m:r>
                <w:rPr>
                  <w:rFonts w:ascii="Cambria Math" w:hAnsi="Cambria Math"/>
                </w:rPr>
                <m:t xml:space="preserve">А</m:t>
              </m:r>
            </m:num>
            <m:den>
              <m:r>
                <w:rPr>
                  <w:rFonts w:ascii="Cambria Math" w:hAnsi="Cambria Math"/>
                </w:rPr>
                <m:t xml:space="preserve">В</m:t>
              </m:r>
            </m:den>
          </m:f>
          <m:r>
            <w:rPr>
              <w:rFonts w:ascii="Cambria Math" w:hAnsi="Cambria Math"/>
            </w:rPr>
            <m:t xml:space="preserve">×</m:t>
          </m:r>
          <m:r>
            <w:rPr>
              <w:rFonts w:ascii="Cambria Math" w:hAnsi="Cambria Math"/>
            </w:rPr>
            <m:t xml:space="preserve">100</m:t>
          </m:r>
          <m:r>
            <m:rPr>
              <m:lit/>
              <m:nor/>
            </m:rPr>
            <w:rPr>
              <w:rFonts w:ascii="Cambria Math" w:hAnsi="Cambria Math"/>
            </w:rPr>
            <m:t xml:space="preserve">%</m:t>
          </m:r>
          <m:r>
            <w:rPr>
              <w:rFonts w:ascii="Cambria Math" w:hAnsi="Cambria Math"/>
            </w:rPr>
            <m:t xml:space="preserve">,</m:t>
          </m:r>
        </m:oMath>
      </m:oMathPara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 - Процент составления списков присяжных заседателей (%)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 - Численность граждан, подлежащих включению в списки кандидатов присяжных заседателей на территориях муниципальных образований (чел.)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-  Численность граждан, включенных в списки кандидатов присяжных заседателей на территориях муниципальных образований (чел.)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Численность граждан определяется на основании данных,  предоставленными муниципальными образованиями.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8. Снижение числа пострадавших в чрезвычайных ситуациях и происшествиях на территориях муниципальных образований, в которых развернута система-112: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</w:t>
      </w:r>
      <w:r>
        <w:rPr>
          <w:rFonts w:cs="Times New Roman" w:ascii="Times New Roman" w:hAnsi="Times New Roman"/>
          <w:sz w:val="28"/>
          <w:szCs w:val="28"/>
          <w:vertAlign w:val="superscript"/>
        </w:rPr>
        <w:t>Терр.</w:t>
      </w:r>
      <w:r>
        <w:rPr>
          <w:rFonts w:cs="Times New Roman" w:ascii="Times New Roman" w:hAnsi="Times New Roman"/>
          <w:sz w:val="28"/>
          <w:szCs w:val="28"/>
        </w:rPr>
        <w:t xml:space="preserve"> = Б</w:t>
      </w:r>
      <w:r>
        <w:rPr>
          <w:rFonts w:cs="Times New Roman" w:ascii="Times New Roman" w:hAnsi="Times New Roman"/>
          <w:sz w:val="28"/>
          <w:szCs w:val="28"/>
          <w:vertAlign w:val="subscript"/>
        </w:rPr>
        <w:t>1</w:t>
      </w:r>
      <w:r>
        <w:rPr>
          <w:rFonts w:cs="Times New Roman" w:ascii="Times New Roman" w:hAnsi="Times New Roman"/>
          <w:sz w:val="28"/>
          <w:szCs w:val="28"/>
        </w:rPr>
        <w:t xml:space="preserve"> - Б</w:t>
      </w:r>
      <w:r>
        <w:rPr>
          <w:rFonts w:cs="Times New Roman" w:ascii="Times New Roman" w:hAnsi="Times New Roman"/>
          <w:sz w:val="28"/>
          <w:szCs w:val="28"/>
          <w:vertAlign w:val="subscript"/>
        </w:rPr>
        <w:t>2</w:t>
      </w:r>
      <w:r>
        <w:rPr>
          <w:rFonts w:cs="Times New Roman" w:ascii="Times New Roman" w:hAnsi="Times New Roman"/>
          <w:sz w:val="28"/>
          <w:szCs w:val="28"/>
        </w:rPr>
        <w:t>, где: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</w:t>
      </w:r>
      <w:r>
        <w:rPr>
          <w:rFonts w:cs="Times New Roman" w:ascii="Times New Roman" w:hAnsi="Times New Roman"/>
          <w:sz w:val="28"/>
          <w:szCs w:val="28"/>
          <w:vertAlign w:val="superscript"/>
        </w:rPr>
        <w:t>Терр.</w:t>
      </w:r>
      <w:r>
        <w:rPr>
          <w:rFonts w:cs="Times New Roman" w:ascii="Times New Roman" w:hAnsi="Times New Roman"/>
          <w:sz w:val="28"/>
          <w:szCs w:val="28"/>
        </w:rPr>
        <w:t xml:space="preserve"> - снижение числа пострадавших в чрезвычайных ситуациях и происшествиях на территориях муниципальных образований, в которых развернута система-112 (человек);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</w:t>
      </w:r>
      <w:r>
        <w:rPr>
          <w:rFonts w:cs="Times New Roman" w:ascii="Times New Roman" w:hAnsi="Times New Roman"/>
          <w:sz w:val="28"/>
          <w:szCs w:val="28"/>
          <w:vertAlign w:val="subscript"/>
        </w:rPr>
        <w:t>1</w:t>
      </w:r>
      <w:r>
        <w:rPr>
          <w:rFonts w:cs="Times New Roman" w:ascii="Times New Roman" w:hAnsi="Times New Roman"/>
          <w:sz w:val="28"/>
          <w:szCs w:val="28"/>
        </w:rPr>
        <w:t xml:space="preserve"> - число пострадавших в чрезвычайных ситуациях и происшествиях по состоянию на 31 декабря года, предшествующего внедрению системы-112 (человек);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</w:t>
      </w:r>
      <w:r>
        <w:rPr>
          <w:rFonts w:cs="Times New Roman" w:ascii="Times New Roman" w:hAnsi="Times New Roman"/>
          <w:sz w:val="28"/>
          <w:szCs w:val="28"/>
          <w:vertAlign w:val="subscript"/>
        </w:rPr>
        <w:t>2</w:t>
      </w:r>
      <w:r>
        <w:rPr>
          <w:rFonts w:cs="Times New Roman" w:ascii="Times New Roman" w:hAnsi="Times New Roman"/>
          <w:sz w:val="28"/>
          <w:szCs w:val="28"/>
        </w:rPr>
        <w:t xml:space="preserve"> - число пострадавших в чрезвычайных ситуациях и происшествиях в отчетном году (человек).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Источник: Статистические данные Главного управления МЧС России по Брянской области и данные Брянскстат.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9. Количество стационарных камер фото-видео-фиксации нарушений Правил дорожного движения на автомобильных дорогах от базового количества 2017 года (процент):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center"/>
        <w:rPr/>
      </w:pPr>
      <w:r>
        <w:rPr/>
        <w:drawing>
          <wp:inline distT="0" distB="0" distL="0" distR="0">
            <wp:extent cx="1710055" cy="287020"/>
            <wp:effectExtent l="0" t="0" r="0" b="0"/>
            <wp:docPr id="6" name="Изображение1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11" descr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/>
        <w:drawing>
          <wp:inline distT="0" distB="0" distL="0" distR="0">
            <wp:extent cx="326390" cy="287020"/>
            <wp:effectExtent l="0" t="0" r="0" b="0"/>
            <wp:docPr id="7" name="Изображение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12" descr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- количество стационарных камер фотовидеофиксации по подведомственному учреждению ГКУ Брянской области "Безопасный регион", выраженное в шт. и в % соотношении к 2017 году;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</w:t>
      </w:r>
      <w:r>
        <w:rPr>
          <w:rFonts w:cs="Times New Roman" w:ascii="Times New Roman" w:hAnsi="Times New Roman"/>
          <w:sz w:val="28"/>
          <w:szCs w:val="28"/>
          <w:vertAlign w:val="subscript"/>
        </w:rPr>
        <w:t>1</w:t>
      </w:r>
      <w:r>
        <w:rPr>
          <w:rFonts w:cs="Times New Roman" w:ascii="Times New Roman" w:hAnsi="Times New Roman"/>
          <w:sz w:val="28"/>
          <w:szCs w:val="28"/>
        </w:rPr>
        <w:t xml:space="preserve"> - количество стационарных камер фотовидеофиксации, находящихся на балансе учреждения и введенных в эксплуатацию (установленных), учитываемых нарастающим итогом;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</w:t>
      </w:r>
      <w:r>
        <w:rPr>
          <w:rFonts w:cs="Times New Roman" w:ascii="Times New Roman" w:hAnsi="Times New Roman"/>
          <w:sz w:val="28"/>
          <w:szCs w:val="28"/>
          <w:vertAlign w:val="subscript"/>
        </w:rPr>
        <w:t>2</w:t>
      </w:r>
      <w:r>
        <w:rPr>
          <w:rFonts w:cs="Times New Roman" w:ascii="Times New Roman" w:hAnsi="Times New Roman"/>
          <w:sz w:val="28"/>
          <w:szCs w:val="28"/>
        </w:rPr>
        <w:t xml:space="preserve"> - количество стационарных камер фотовидеофиксации, находящихся на балансе учреждения и введенных в эксплуатацию (установленных) в 2017 году.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определяется уполномоченным органом -  подведомственным учреждением ГКУ БО «Безопасный регион».</w:t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10. «Повышение информационного взаимодействия с населением Брянской области направленное на формирование законопослушного поведения, в том числе неприятия идеологии терроризма и экстремизма» (штук).</w:t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Данные представлены на основе мониторинга реализации государственных программ и муниципальных программ субъектов Российской Федерации и в связи с Указом Президента Российской Федерации от 29 мая 2020 года № 344, утверждающем Стратегию противодействия экстремизма в Российской Федерации до 2025 года.</w:t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11. «Размещение в региональном сегменте каналов видеороликов, направленных на профилактику терроризма и экстремизма» (минута).</w:t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Данные представлены на основе мониторинга реализации государственных программ и муниципальных программ субъектов Российской Федерациии в связи с Указом Президента Российской Федерации от 29 мая 2020 года №344, утверждающем Стратегию противодействия экстремизма в Российской Федерации до 2025 года.</w:t>
      </w:r>
    </w:p>
    <w:p>
      <w:pPr>
        <w:pStyle w:val="ConsPlusNormal"/>
        <w:spacing w:before="220" w:after="200"/>
        <w:ind w:firstLine="540"/>
        <w:jc w:val="center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</w:r>
    </w:p>
    <w:p>
      <w:pPr>
        <w:pStyle w:val="ConsPlusNormal"/>
        <w:spacing w:before="220" w:after="200"/>
        <w:ind w:firstLine="540"/>
        <w:jc w:val="center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Показатели (индикаторы), характеризующие реализацию основных мероприятий государственной программы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12. Доля несовершеннолетних, состоящих на учете в комиссиях по делам несовершеннолетних и защите их прав, от общей численности детского населения, проживающего на территории Брянской области, определяется следующим образом: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center"/>
        <w:rPr/>
      </w:pPr>
      <w:r>
        <w:rPr/>
        <w:drawing>
          <wp:inline distT="0" distB="0" distL="0" distR="0">
            <wp:extent cx="1646555" cy="429895"/>
            <wp:effectExtent l="0" t="0" r="0" b="0"/>
            <wp:docPr id="8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555" cy="42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Дн - доля несовершеннолетних, состоящих на учете в комиссиях по делам несовершеннолетних и защите их прав, от общей численности детского населения, проживающего на территории Брянской области (%);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Чнсу - численность несовершеннолетних, состоящих на учете в комиссиях по делам несовершеннолетних и защите их прав Брянской области;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Чдн - численность несовершеннолетних, проживающих на территории Брянской области на начало отчетного года (определяется на основе данных государственного статистического наблюдения). 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Источник данных определяется </w:t>
      </w:r>
      <w:hyperlink r:id="rId13">
        <w:r>
          <w:rPr>
            <w:rFonts w:cs="Times New Roman" w:ascii="Times New Roman" w:hAnsi="Times New Roman"/>
            <w:sz w:val="28"/>
            <w:szCs w:val="28"/>
          </w:rPr>
          <w:t>пунктом 1.8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Федерального плана статистических работ, утвержденного Распоряжением Правительства Российской Федерации от 6 мая 2008 года № 671-р).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13. Доля обучающихся в общеобразовательных организациях и профессиональных образовательных организациях в возрасте от 15 до 18 лет, вовлеченных в мероприятия по раннему выявлению употребления наркотических средств: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center"/>
        <w:rPr/>
      </w:pPr>
      <w:r>
        <w:rPr/>
        <w:drawing>
          <wp:inline distT="0" distB="0" distL="0" distR="0">
            <wp:extent cx="1558925" cy="469900"/>
            <wp:effectExtent l="0" t="0" r="0" b="0"/>
            <wp:docPr id="9" name="Изображение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5" descr="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925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</w:t>
      </w:r>
      <w:r>
        <w:rPr>
          <w:rFonts w:cs="Times New Roman" w:ascii="Times New Roman" w:hAnsi="Times New Roman"/>
          <w:sz w:val="28"/>
          <w:szCs w:val="28"/>
          <w:vertAlign w:val="subscript"/>
        </w:rPr>
        <w:t>Qk</w:t>
      </w:r>
      <w:r>
        <w:rPr>
          <w:rFonts w:cs="Times New Roman" w:ascii="Times New Roman" w:hAnsi="Times New Roman"/>
          <w:sz w:val="28"/>
          <w:szCs w:val="28"/>
        </w:rPr>
        <w:t xml:space="preserve"> - доля обучающихся в общеобразовательных организациях и профессиональных образовательных организациях в возрасте от 15 до 18 лет, вовлеченных в мероприятия по раннему выявлению употребления наркотических средств, %;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Q</w:t>
      </w:r>
      <w:r>
        <w:rPr>
          <w:rFonts w:cs="Times New Roman" w:ascii="Times New Roman" w:hAnsi="Times New Roman"/>
          <w:sz w:val="28"/>
          <w:szCs w:val="28"/>
          <w:vertAlign w:val="subscript"/>
        </w:rPr>
        <w:t>m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обучающихся в общеобразовательных организациях и профессиональных образовательных организациях в возрасте от 15 до 18 лет, вовлеченных в мероприятия по раннему выявлению употребления наркотических средств;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Q</w:t>
      </w:r>
      <w:r>
        <w:rPr>
          <w:rFonts w:cs="Times New Roman" w:ascii="Times New Roman" w:hAnsi="Times New Roman"/>
          <w:sz w:val="28"/>
          <w:szCs w:val="28"/>
          <w:vertAlign w:val="subscript"/>
        </w:rPr>
        <w:t>vm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обучающихся в общеобразовательных организациях и профессиональных образовательных организациях в возрасте от 15 до 18 лет, проживающих на территории Брянской области.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Доля обучающихся в общеобразовательных организациях и профессиональных образовательных организациях в возрасте от 15 до 18 лет, вовлеченных в мероприятия по раннему выявлению употребления наркотических средств, отражается в статистических сборниках департамента здравоохранения Брянской области, в результатах мониторинга наркоситуации в Брянской области на официальных сайтах антинаркотической комиссии Брянской области, департамента здравоохранения Брянской области, УМВД России по Брянской области.</w:t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</w:rPr>
        <w:t>14.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«Обеспечение добровольной народной дружины (ДНД) отличительной символикой, удостоверениями (с учетом потребности) (процент).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X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B</m:t>
            </m:r>
          </m:num>
          <m:den>
            <m:r>
              <w:rPr>
                <w:rFonts w:ascii="Cambria Math" w:hAnsi="Cambria Math"/>
              </w:rPr>
              <m:t xml:space="preserve">A</m:t>
            </m:r>
          </m:den>
        </m:f>
        <m:r>
          <w:rPr>
            <w:rFonts w:ascii="Cambria Math" w:hAnsi="Cambria Math"/>
          </w:rPr>
          <m:t xml:space="preserve">×</m:t>
        </m:r>
        <m:r>
          <w:rPr>
            <w:rFonts w:ascii="Cambria Math" w:hAnsi="Cambria Math"/>
          </w:rPr>
          <m:t xml:space="preserve">100</m:t>
        </m:r>
        <m:r>
          <m:rPr>
            <m:lit/>
            <m:nor/>
          </m:rPr>
          <w:rPr>
            <w:rFonts w:ascii="Cambria Math" w:hAnsi="Cambria Math"/>
          </w:rPr>
          <m:t xml:space="preserve">%</m:t>
        </m:r>
      </m:oMath>
      <w:r>
        <w:rPr>
          <w:rFonts w:eastAsia="" w:cs="Times New Roman" w:ascii="Times New Roman" w:hAnsi="Times New Roman" w:eastAsiaTheme="minorEastAsia"/>
          <w:sz w:val="28"/>
          <w:szCs w:val="28"/>
        </w:rPr>
        <w:t>, где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X</w:t>
      </w:r>
      <w:r>
        <w:rPr>
          <w:rFonts w:cs="Times New Roman" w:ascii="Times New Roman" w:hAnsi="Times New Roman"/>
          <w:sz w:val="28"/>
          <w:szCs w:val="28"/>
        </w:rPr>
        <w:t xml:space="preserve"> – обеспеченность народных дружин   отличительной символикой и удостоверениями (с учетом потребности)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 – потребность народных дружин в символах отличительной символики и удостоверениях, шт.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- количество приобретенных символов отличительной символики и удостоверений, шт.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Потребность  определяется на основании заявок от администраций муниципальных образований, где осуществляется деятельность народных дружин.</w:t>
      </w:r>
    </w:p>
    <w:p>
      <w:pPr>
        <w:pStyle w:val="Normal"/>
        <w:widowControl w:val="false"/>
        <w:spacing w:lineRule="auto" w:line="240" w:before="22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15. Снижение количества пожаров определяется по формуле: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/>
        <w:drawing>
          <wp:inline distT="0" distB="0" distL="0" distR="0">
            <wp:extent cx="2070100" cy="514350"/>
            <wp:effectExtent l="0" t="0" r="0" b="0"/>
            <wp:docPr id="10" name="Рисунок 12" descr="base_23753_62063_32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2" descr="base_23753_62063_3277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S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Qf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- снижение количества пожаров, %;</w:t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Q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fn.n.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- количество пожаров в отчетном периоде, единиц;</w:t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Q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fm.n.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- количество пожаров в периоде, предшествующем отчетному, единиц.</w:t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Источник: статистические данные МЧС России.</w:t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16. Количество лиц, прошедших обучение по программам в сфере ГО и ЧС.</w:t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Показатель определяется государственным заданием на выполнение государственной услуги по обучению в ГБУ ДПО и ПК "Учебно-методический центр по ГО и ЧС Брянской области".</w:t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17. Проведение военно-мобилизационного сбора с заместителями Губернатора Брянской области,  руководящим составом администрации Губернатора Брянской области и Правительства Брянской области, руководителями исполнительных органов государственной власти Брянской области, главами администрации городских округов, муниципальных округов и муниципальных районов, председателями советов народных депутатов, депутатов законодательного органа государственной власти Брянской области. (Единица измерения %): 100%.</w:t>
      </w:r>
    </w:p>
    <w:p>
      <w:pPr>
        <w:pStyle w:val="Normal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X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B</m:t>
            </m:r>
          </m:num>
          <m:den>
            <m:r>
              <w:rPr>
                <w:rFonts w:ascii="Cambria Math" w:hAnsi="Cambria Math"/>
              </w:rPr>
              <m:t xml:space="preserve">A</m:t>
            </m:r>
          </m:den>
        </m:f>
        <m:r>
          <w:rPr>
            <w:rFonts w:ascii="Cambria Math" w:hAnsi="Cambria Math"/>
          </w:rPr>
          <m:t xml:space="preserve">×</m:t>
        </m:r>
        <m:r>
          <w:rPr>
            <w:rFonts w:ascii="Cambria Math" w:hAnsi="Cambria Math"/>
          </w:rPr>
          <m:t xml:space="preserve">100</m:t>
        </m:r>
        <m:r>
          <m:rPr>
            <m:lit/>
            <m:nor/>
          </m:rPr>
          <w:rPr>
            <w:rFonts w:ascii="Cambria Math" w:hAnsi="Cambria Math"/>
          </w:rPr>
          <m:t xml:space="preserve">%</m:t>
        </m:r>
      </m:oMath>
      <w:r>
        <w:rPr>
          <w:rFonts w:eastAsia="Times New Roman" w:cs="Times New Roman" w:ascii="Times New Roman" w:hAnsi="Times New Roman"/>
          <w:sz w:val="28"/>
          <w:szCs w:val="28"/>
        </w:rPr>
        <w:t>, где</w:t>
      </w:r>
    </w:p>
    <w:p>
      <w:pPr>
        <w:pStyle w:val="Normal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  <w:lang w:val="en-US"/>
        </w:rPr>
        <w:t>X</w:t>
      </w:r>
      <w:r>
        <w:rPr>
          <w:rFonts w:eastAsia="Calibri" w:cs="Times New Roman" w:ascii="Times New Roman" w:hAnsi="Times New Roman"/>
          <w:sz w:val="28"/>
          <w:szCs w:val="28"/>
        </w:rPr>
        <w:t xml:space="preserve"> – доля принявших участие в мобилизационных сборах, %</w:t>
      </w:r>
    </w:p>
    <w:p>
      <w:pPr>
        <w:pStyle w:val="Normal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А – количество представителей законодательной, исполнительной власти Брянской области и органов местного самоуправления Брянской области запланированное к  участию в мобилизационных сборах, чел.</w:t>
      </w:r>
    </w:p>
    <w:p>
      <w:pPr>
        <w:pStyle w:val="Normal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В - количество представителей законодательной, исполнительной власти Брянской области и органов местного самоуправления Брянской области принявших  участие в мобилизационных сборах, чел.</w:t>
      </w:r>
    </w:p>
    <w:p>
      <w:pPr>
        <w:pStyle w:val="Normal"/>
        <w:ind w:firstLine="708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Источник – отчетные данные департамента региональной безопасности Брянской области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18. Обеспечение учета военнообязанных, проживающих на территориях, где отсутствуют военные комиссариаты (Единица измерения %): 100%.</w:t>
      </w:r>
    </w:p>
    <w:p>
      <w:pPr>
        <w:pStyle w:val="ConsPlusNormal"/>
        <w:spacing w:before="220" w:after="20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X</m:t>
        </m:r>
        <m:r>
          <w:rPr>
            <w:rFonts w:ascii="Cambria Math" w:hAnsi="Cambria Math"/>
          </w:rPr>
          <m:t xml:space="preserve">=</m:t>
        </m:r>
        <m:f>
          <m:num>
            <m:sSub>
              <m:e>
                <m:r>
                  <w:rPr>
                    <w:rFonts w:ascii="Cambria Math" w:hAnsi="Cambria Math"/>
                  </w:rPr>
                  <m:t xml:space="preserve">К</m:t>
                </m:r>
              </m:e>
              <m:sub>
                <m:r>
                  <w:rPr>
                    <w:rFonts w:ascii="Cambria Math" w:hAnsi="Cambria Math"/>
                  </w:rPr>
                  <m:t xml:space="preserve">в</m:t>
                </m:r>
              </m:sub>
            </m:sSub>
          </m:num>
          <m:den>
            <m:sSub>
              <m:e>
                <m:r>
                  <w:rPr>
                    <w:rFonts w:ascii="Cambria Math" w:hAnsi="Cambria Math"/>
                  </w:rPr>
                  <m:t xml:space="preserve">К</m:t>
                </m:r>
              </m:e>
              <m:sub>
                <m:r>
                  <w:rPr>
                    <w:rFonts w:ascii="Cambria Math" w:hAnsi="Cambria Math"/>
                  </w:rPr>
                  <m:t xml:space="preserve">п</m:t>
                </m:r>
              </m:sub>
            </m:sSub>
          </m:den>
        </m:f>
        <m:r>
          <w:rPr>
            <w:rFonts w:ascii="Cambria Math" w:hAnsi="Cambria Math"/>
          </w:rPr>
          <m:t xml:space="preserve">×</m:t>
        </m:r>
        <m:r>
          <w:rPr>
            <w:rFonts w:ascii="Cambria Math" w:hAnsi="Cambria Math"/>
          </w:rPr>
          <m:t xml:space="preserve">100</m:t>
        </m:r>
        <m:r>
          <m:rPr>
            <m:lit/>
            <m:nor/>
          </m:rPr>
          <w:rPr>
            <w:rFonts w:ascii="Cambria Math" w:hAnsi="Cambria Math"/>
          </w:rPr>
          <m:t xml:space="preserve">%</m:t>
        </m:r>
        <m:r>
          <w:rPr>
            <w:rFonts w:ascii="Cambria Math" w:hAnsi="Cambria Math"/>
          </w:rPr>
          <m:t xml:space="preserve">,</m:t>
        </m:r>
      </m:oMath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где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Х - Обеспечение учета военнообязанных, проживающих на территориях, где отсутствуют военные комиссариаты (%).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К</m:t>
            </m:r>
          </m:e>
          <m:sub>
            <m:r>
              <w:rPr>
                <w:rFonts w:ascii="Cambria Math" w:hAnsi="Cambria Math"/>
              </w:rPr>
              <m:t xml:space="preserve">в</m:t>
            </m:r>
          </m:sub>
        </m:sSub>
      </m:oMath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- общее количество граждан, подлежащих призыву на воинскую службу в муниципальных образованиях, на территориях которых  отсутствуют военные комиссариаты (чел).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К</m:t>
            </m:r>
          </m:e>
          <m:sub>
            <m:r>
              <w:rPr>
                <w:rFonts w:ascii="Cambria Math" w:hAnsi="Cambria Math"/>
              </w:rPr>
              <m:t xml:space="preserve">п</m:t>
            </m:r>
          </m:sub>
        </m:sSub>
      </m:oMath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- количество граждан, подлежащих призыву на воинскую службу в муниципальных образованиях, на территориях которых  отсутствуют военные комиссариаты, поставленных на учет (чел).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Численность граждан определяется на основании данных,  предоставленными муниципальными образованиями.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19. Доля населения, проживающего в муниципальных образованиях, в которых создан АПК "Безопасный город", относительно общего количества населения Брянской области: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/>
        <w:drawing>
          <wp:inline distT="0" distB="0" distL="0" distR="0">
            <wp:extent cx="1391920" cy="469900"/>
            <wp:effectExtent l="0" t="0" r="0" b="0"/>
            <wp:docPr id="11" name="Изображение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Изображение9" descr="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 - доля населения, проживающего в муниципальных образованиях, в которых создан АПК "Безопасный город" (процент);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</w:t>
      </w:r>
      <w:r>
        <w:rPr>
          <w:rFonts w:cs="Times New Roman" w:ascii="Times New Roman" w:hAnsi="Times New Roman"/>
          <w:sz w:val="28"/>
          <w:szCs w:val="28"/>
          <w:vertAlign w:val="subscript"/>
        </w:rPr>
        <w:t>2</w:t>
      </w:r>
      <w:r>
        <w:rPr>
          <w:rFonts w:cs="Times New Roman" w:ascii="Times New Roman" w:hAnsi="Times New Roman"/>
          <w:sz w:val="28"/>
          <w:szCs w:val="28"/>
        </w:rPr>
        <w:t xml:space="preserve"> - общее количество населения в муниципальных образованиях, подверженного воздействию быстроразвивающихся природных и техногенных процессов (чел.);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</w:t>
      </w:r>
      <w:r>
        <w:rPr>
          <w:rFonts w:cs="Times New Roman" w:ascii="Times New Roman" w:hAnsi="Times New Roman"/>
          <w:sz w:val="28"/>
          <w:szCs w:val="28"/>
          <w:vertAlign w:val="subscript"/>
        </w:rPr>
        <w:t>1</w:t>
      </w:r>
      <w:r>
        <w:rPr>
          <w:rFonts w:cs="Times New Roman" w:ascii="Times New Roman" w:hAnsi="Times New Roman"/>
          <w:sz w:val="28"/>
          <w:szCs w:val="28"/>
        </w:rPr>
        <w:t xml:space="preserve"> - общее количество населения Брянской области (чел.).</w:t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Источник: Статистические данные Брянскстат.</w:t>
      </w:r>
    </w:p>
    <w:p>
      <w:pPr>
        <w:pStyle w:val="Normal"/>
        <w:widowControl w:val="false"/>
        <w:spacing w:lineRule="auto" w:line="240" w:before="22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20. Количество стационарных камер фотовидеофиксации нарушений Правил дорожного движения на автомобильных дорогах об базового количества 2017 года:</w:t>
      </w:r>
    </w:p>
    <w:p>
      <w:pPr>
        <w:pStyle w:val="Normal"/>
        <w:widowControl w:val="false"/>
        <w:spacing w:lineRule="auto" w:line="240" w:before="220" w:after="0"/>
        <w:ind w:firstLine="54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/>
        <w:drawing>
          <wp:inline distT="0" distB="0" distL="0" distR="0">
            <wp:extent cx="1710055" cy="287020"/>
            <wp:effectExtent l="0" t="0" r="0" b="0"/>
            <wp:docPr id="12" name="Изображение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Изображение3" descr="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/>
        <w:drawing>
          <wp:inline distT="0" distB="0" distL="0" distR="0">
            <wp:extent cx="326390" cy="287020"/>
            <wp:effectExtent l="0" t="0" r="0" b="0"/>
            <wp:docPr id="13" name="Изображение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4" descr="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- количество стационарных камер фотовидеофиксации по подведомственному учреждению ГКУ Брянской области "Безопасный регион", выраженное в шт. и в % соотношении к 2017 году;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</w:t>
      </w:r>
      <w:r>
        <w:rPr>
          <w:rFonts w:cs="Times New Roman" w:ascii="Times New Roman" w:hAnsi="Times New Roman"/>
          <w:sz w:val="28"/>
          <w:szCs w:val="28"/>
          <w:vertAlign w:val="subscript"/>
        </w:rPr>
        <w:t>1</w:t>
      </w:r>
      <w:r>
        <w:rPr>
          <w:rFonts w:cs="Times New Roman" w:ascii="Times New Roman" w:hAnsi="Times New Roman"/>
          <w:sz w:val="28"/>
          <w:szCs w:val="28"/>
        </w:rPr>
        <w:t xml:space="preserve"> - количество стационарных камер фотовидеофиксации, находящихся на балансе учреждения и введенных в эксплуатацию (установленных), учитываемых нарастающим итогом;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</w:t>
      </w:r>
      <w:r>
        <w:rPr>
          <w:rFonts w:cs="Times New Roman" w:ascii="Times New Roman" w:hAnsi="Times New Roman"/>
          <w:sz w:val="28"/>
          <w:szCs w:val="28"/>
          <w:vertAlign w:val="subscript"/>
        </w:rPr>
        <w:t>2</w:t>
      </w:r>
      <w:r>
        <w:rPr>
          <w:rFonts w:cs="Times New Roman" w:ascii="Times New Roman" w:hAnsi="Times New Roman"/>
          <w:sz w:val="28"/>
          <w:szCs w:val="28"/>
        </w:rPr>
        <w:t xml:space="preserve"> - количество стационарных камер фотовидеофиксации, находящихся на балансе учреждения и введенных в эксплуатацию (установленных) в    2017 году.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21. Количество погибших в  Брянской области в дорожно-транспортных присшествиях, человек на 100 тыс.населения.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Методика расчета показателя социального риска утверждена  распоряжением Министра внутренних дел РоссийскойФедерации от                     23 февраля 2018 г. № 1/1986 «Об утверждении методики расчета показателей». Планируемая динамика сокращения социального риска определена с учетом результатов анализа, накопленного в процессе реализации федеральной целевой программы «Повышение безопасности дорожного движенияв 2013-2020 годах».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22</w:t>
      </w:r>
      <w:r>
        <w:rPr>
          <w:rFonts w:cs="Times New Roman" w:ascii="Times New Roman" w:hAnsi="Times New Roman"/>
          <w:sz w:val="28"/>
          <w:szCs w:val="28"/>
        </w:rPr>
        <w:t xml:space="preserve">. Число лиц, погибших в дорожно-транспортных происшествиях. Единица измерения: человек. 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Источник: </w:t>
      </w:r>
      <w:r>
        <w:rPr>
          <w:rFonts w:cs="Times New Roman" w:ascii="Times New Roman" w:hAnsi="Times New Roman"/>
          <w:sz w:val="28"/>
          <w:szCs w:val="28"/>
        </w:rPr>
        <w:t>У</w:t>
      </w:r>
      <w:r>
        <w:rPr>
          <w:rFonts w:cs="Times New Roman" w:ascii="Times New Roman" w:hAnsi="Times New Roman"/>
          <w:sz w:val="28"/>
          <w:szCs w:val="28"/>
        </w:rPr>
        <w:t xml:space="preserve">ГИБДД </w:t>
      </w:r>
      <w:r>
        <w:rPr>
          <w:rFonts w:cs="Times New Roman" w:ascii="Times New Roman" w:hAnsi="Times New Roman"/>
          <w:sz w:val="28"/>
          <w:szCs w:val="28"/>
        </w:rPr>
        <w:t>У</w:t>
      </w:r>
      <w:r>
        <w:rPr>
          <w:rFonts w:cs="Times New Roman" w:ascii="Times New Roman" w:hAnsi="Times New Roman"/>
          <w:sz w:val="28"/>
          <w:szCs w:val="28"/>
        </w:rPr>
        <w:t>МВД России по Брянской области.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23. Число детей, погибших в дорожно-транспортных происшествиях. Единица измерения: человек.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Источник: </w:t>
      </w:r>
      <w:r>
        <w:rPr>
          <w:rFonts w:cs="Times New Roman" w:ascii="Times New Roman" w:hAnsi="Times New Roman"/>
          <w:sz w:val="28"/>
          <w:szCs w:val="28"/>
        </w:rPr>
        <w:t>У</w:t>
      </w:r>
      <w:r>
        <w:rPr>
          <w:rFonts w:cs="Times New Roman" w:ascii="Times New Roman" w:hAnsi="Times New Roman"/>
          <w:sz w:val="28"/>
          <w:szCs w:val="28"/>
        </w:rPr>
        <w:t xml:space="preserve">ГИБДД </w:t>
      </w:r>
      <w:r>
        <w:rPr>
          <w:rFonts w:cs="Times New Roman" w:ascii="Times New Roman" w:hAnsi="Times New Roman"/>
          <w:sz w:val="28"/>
          <w:szCs w:val="28"/>
        </w:rPr>
        <w:t>У</w:t>
      </w:r>
      <w:r>
        <w:rPr>
          <w:rFonts w:cs="Times New Roman" w:ascii="Times New Roman" w:hAnsi="Times New Roman"/>
          <w:sz w:val="28"/>
          <w:szCs w:val="28"/>
        </w:rPr>
        <w:t>МВД России по Брянской области.</w:t>
      </w:r>
      <w:bookmarkStart w:id="0" w:name="_GoBack"/>
      <w:bookmarkEnd w:id="0"/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Количественные индикаторы 22 и 23, такие как число лиц, погибших в дорожно-транспортных происшествиях, и число детей, погибших в дорожно-транспортных происшествиях, оцениваются в сравнении с аналогичниым показателем 2012 года и плановыми значениями по годам.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24. Количество районов Брянской области, охваченных специальными техническими средствами автоматизированной фотовидеофиксации административных правонарушений в области дорожного движения.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Показатель определяется исходя из фактического использования передвижных и стационарных специальных технических средств в соответствии с дислокацией, утвержденной госавтоинспекцией Брянской области.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25. Социальный риск (число лиц, погибших в дорожно-транспортных происшествиях на 100 тыс.населения):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∑</w:t>
      </w:r>
      <w:r>
        <w:rPr>
          <w:rFonts w:cs="Times New Roman" w:ascii="Times New Roman" w:hAnsi="Times New Roman"/>
          <w:sz w:val="28"/>
          <w:szCs w:val="28"/>
        </w:rPr>
        <w:t>соц.риск= (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п/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нас.)*100 000, где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∑</w:t>
      </w:r>
      <w:r>
        <w:rPr>
          <w:rFonts w:cs="Times New Roman" w:ascii="Times New Roman" w:hAnsi="Times New Roman"/>
          <w:sz w:val="28"/>
          <w:szCs w:val="28"/>
        </w:rPr>
        <w:t>соц.риск- получаемое значение индикатора,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п-количество погибших в дорожно-транспортных происшествиях на территории региона в истекшем году согласно статистической отчетности;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нас – численность населения региона согласно статистической отчетности по итогам года.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26. Транспортный риск(число лиц, погибших в дорожно-транспортных происшествиях на 10тыс.транспортных средств):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∑</w:t>
      </w:r>
      <w:r>
        <w:rPr>
          <w:rFonts w:cs="Times New Roman" w:ascii="Times New Roman" w:hAnsi="Times New Roman"/>
          <w:sz w:val="28"/>
          <w:szCs w:val="28"/>
        </w:rPr>
        <w:t>трансп. риск= (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п/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тс.)*10 000, где: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∑</w:t>
      </w:r>
      <w:r>
        <w:rPr>
          <w:rFonts w:cs="Times New Roman" w:ascii="Times New Roman" w:hAnsi="Times New Roman"/>
          <w:sz w:val="28"/>
          <w:szCs w:val="28"/>
        </w:rPr>
        <w:t>трансп.риск-получаемое значение индикатора,</w:t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п- количество погибших в долрожно-транспортных происшествиях на территории региона в истекшем году согласно статистической отчетности;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тс- количество транспортных средств, зарегистрированных на террито-рии региона согласно статистической отчетности по итогам года.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220"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220" w:after="0"/>
        <w:ind w:firstLine="54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PT Astra Serif">
    <w:charset w:val="cc"/>
    <w:family w:val="roman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Интернет-ссылка"/>
    <w:rPr>
      <w:color w:val="000080"/>
      <w:u w:val="single"/>
    </w:rPr>
  </w:style>
  <w:style w:type="character" w:styleId="Style15" w:customStyle="1">
    <w:name w:val="Текст выноски Знак"/>
    <w:basedOn w:val="DefaultParagraphFont"/>
    <w:link w:val="aa"/>
    <w:uiPriority w:val="99"/>
    <w:semiHidden/>
    <w:qFormat/>
    <w:rsid w:val="00db39d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sid w:val="007b70ec"/>
    <w:rPr>
      <w:color w:val="808080"/>
    </w:rPr>
  </w:style>
  <w:style w:type="paragraph" w:styleId="Style16" w:customStyle="1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onsPlusNormal" w:customStyle="1">
    <w:name w:val="ConsPlusNormal"/>
    <w:qFormat/>
    <w:rsid w:val="00c63171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qFormat/>
    <w:rsid w:val="00c63171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c63171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val="ru-RU" w:eastAsia="ru-RU" w:bidi="ar-SA"/>
    </w:rPr>
  </w:style>
  <w:style w:type="paragraph" w:styleId="ConsPlusCell" w:customStyle="1">
    <w:name w:val="ConsPlusCell"/>
    <w:qFormat/>
    <w:rsid w:val="00c63171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DocList" w:customStyle="1">
    <w:name w:val="ConsPlusDocList"/>
    <w:qFormat/>
    <w:rsid w:val="00c63171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ConsPlusTitlePage" w:customStyle="1">
    <w:name w:val="ConsPlusTitlePage"/>
    <w:qFormat/>
    <w:rsid w:val="00c63171"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val="ru-RU" w:eastAsia="ru-RU" w:bidi="ar-SA"/>
    </w:rPr>
  </w:style>
  <w:style w:type="paragraph" w:styleId="ConsPlusJurTerm" w:customStyle="1">
    <w:name w:val="ConsPlusJurTerm"/>
    <w:qFormat/>
    <w:rsid w:val="00c63171"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Times New Roman" w:cs="Tahoma"/>
      <w:color w:val="auto"/>
      <w:kern w:val="0"/>
      <w:sz w:val="26"/>
      <w:szCs w:val="20"/>
      <w:lang w:val="ru-RU" w:eastAsia="ru-RU" w:bidi="ar-SA"/>
    </w:rPr>
  </w:style>
  <w:style w:type="paragraph" w:styleId="ConsPlusTextList" w:customStyle="1">
    <w:name w:val="ConsPlusTextList"/>
    <w:qFormat/>
    <w:rsid w:val="00c63171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1" w:customStyle="1">
    <w:name w:val="Содержимое таблицы"/>
    <w:basedOn w:val="Normal"/>
    <w:qFormat/>
    <w:pPr>
      <w:suppressLineNumbers/>
    </w:pPr>
    <w:rPr/>
  </w:style>
  <w:style w:type="paragraph" w:styleId="Style22" w:customStyle="1">
    <w:name w:val="Заголовок таблицы"/>
    <w:basedOn w:val="Style21"/>
    <w:qFormat/>
    <w:pPr>
      <w:jc w:val="center"/>
    </w:pPr>
    <w:rPr>
      <w:b/>
      <w:bCs/>
    </w:rPr>
  </w:style>
  <w:style w:type="paragraph" w:styleId="BalloonText">
    <w:name w:val="Balloon Text"/>
    <w:basedOn w:val="Normal"/>
    <w:link w:val="ab"/>
    <w:uiPriority w:val="99"/>
    <w:semiHidden/>
    <w:unhideWhenUsed/>
    <w:qFormat/>
    <w:rsid w:val="00db39d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image" Target="media/image3.wmf"/><Relationship Id="rId5" Type="http://schemas.openxmlformats.org/officeDocument/2006/relationships/image" Target="media/image4.wmf"/><Relationship Id="rId6" Type="http://schemas.openxmlformats.org/officeDocument/2006/relationships/hyperlink" Target="consultantplus://offline/ref=9D8EB3F8FD24954C684A01116C9C8B9FE489B706FA001B0F2DEF9E02B5A85218309FC3BBF53539A5639C1D6316162AFDDDD225B6531FE5ADL7t0O" TargetMode="External"/><Relationship Id="rId7" Type="http://schemas.openxmlformats.org/officeDocument/2006/relationships/image" Target="media/image5.wmf"/><Relationship Id="rId8" Type="http://schemas.openxmlformats.org/officeDocument/2006/relationships/hyperlink" Target="consultantplus://offline/ref=0C762EE1E8AF8F29405359F49A24F59A692C373DBA81CBDDE1BA1A13B9290247B9C36E8461D22B37480D188143F0EC15W1z8L" TargetMode="External"/><Relationship Id="rId9" Type="http://schemas.openxmlformats.org/officeDocument/2006/relationships/hyperlink" Target="consultantplus://offline/ref=0C762EE1E8AF8F29405347F98C48A9976A2F6E39B684C88DB5E5414EEE200810FE8C37D4258726354C184CD919A7E11619F20AAADA9E7BF0W1zCL" TargetMode="External"/><Relationship Id="rId10" Type="http://schemas.openxmlformats.org/officeDocument/2006/relationships/image" Target="media/image6.wmf"/><Relationship Id="rId11" Type="http://schemas.openxmlformats.org/officeDocument/2006/relationships/image" Target="media/image7.wmf"/><Relationship Id="rId12" Type="http://schemas.openxmlformats.org/officeDocument/2006/relationships/image" Target="media/image8.wmf"/><Relationship Id="rId13" Type="http://schemas.openxmlformats.org/officeDocument/2006/relationships/hyperlink" Target="consultantplus://offline/ref=9D8EB3F8FD24954C684A01116C9C8B9FE489B706FA001B0F2DEF9E02B5A85218309FC3BBF53C3FA56D9C1D6316162AFDDDD225B6531FE5ADL7t0O" TargetMode="External"/><Relationship Id="rId14" Type="http://schemas.openxmlformats.org/officeDocument/2006/relationships/image" Target="media/image9.wmf"/><Relationship Id="rId15" Type="http://schemas.openxmlformats.org/officeDocument/2006/relationships/image" Target="media/image10.wmf"/><Relationship Id="rId16" Type="http://schemas.openxmlformats.org/officeDocument/2006/relationships/image" Target="media/image11.wmf"/><Relationship Id="rId17" Type="http://schemas.openxmlformats.org/officeDocument/2006/relationships/image" Target="media/image12.wmf"/><Relationship Id="rId18" Type="http://schemas.openxmlformats.org/officeDocument/2006/relationships/image" Target="media/image13.wmf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<Relationship Id="rId2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EF6F8-34E6-469C-BC74-E218DED54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LibreOffice/7.0.1.2$Windows_X86_64 LibreOffice_project/7cbcfc562f6eb6708b5ff7d7397325de9e764452</Application>
  <Pages>11</Pages>
  <Words>1999</Words>
  <Characters>14885</Characters>
  <CharactersWithSpaces>16945</CharactersWithSpaces>
  <Paragraphs>132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2021-10-25T12:08:00Z</dcterms:created>
  <dc:creator>User</dc:creator>
  <dc:description/>
  <dc:language>ru-RU</dc:language>
  <cp:lastModifiedBy/>
  <cp:lastPrinted>2021-10-25T15:34:55Z</cp:lastPrinted>
  <dcterms:modified xsi:type="dcterms:W3CDTF">2021-10-25T15:39:17Z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